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D721F">
      <w:pPr>
        <w:jc w:val="center"/>
        <w:rPr>
          <w:rFonts w:hint="eastAsia" w:ascii="楷体_GB2312" w:hAnsi="宋体" w:eastAsia="楷体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宋体" w:eastAsia="楷体_GB2312" w:cs="Times New Roman"/>
          <w:b/>
          <w:bCs/>
          <w:sz w:val="36"/>
          <w:szCs w:val="36"/>
          <w:lang w:val="en-US" w:eastAsia="zh-CN"/>
        </w:rPr>
        <w:t>远东控股集团2026年电力项目招标要求</w:t>
      </w:r>
    </w:p>
    <w:p w14:paraId="76CA5CD9">
      <w:pPr>
        <w:spacing w:line="240" w:lineRule="auto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b/>
          <w:bCs/>
          <w:sz w:val="32"/>
          <w:szCs w:val="32"/>
          <w:lang w:val="en-US" w:eastAsia="zh-CN"/>
        </w:rPr>
        <w:t>一、招标说明</w:t>
      </w:r>
    </w:p>
    <w:p w14:paraId="1A6E68BD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依据《关于开展2026年电力市场交易工作的通知》《关于做好2026年电力零售市场常态业务管理的通知》及江苏省最新电力改革政策，为最大程度降低集团电力采购成本，秉持合规与公司利益优先原则，就“通过售电公司获取让利电价价差优惠/固定电价”开展邀请招标。</w:t>
      </w:r>
    </w:p>
    <w:p w14:paraId="2499861C">
      <w:pPr>
        <w:spacing w:line="240" w:lineRule="auto"/>
        <w:rPr>
          <w:rFonts w:hint="eastAsia" w:ascii="楷体_GB2312" w:hAnsi="宋体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b/>
          <w:bCs/>
          <w:sz w:val="32"/>
          <w:szCs w:val="32"/>
          <w:lang w:val="en-US" w:eastAsia="zh-CN"/>
        </w:rPr>
        <w:t>二、招标范围及2026年用电核心说明</w:t>
      </w:r>
    </w:p>
    <w:p w14:paraId="237D539B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服务范围：协助新远东电缆有限公司、远东电池江苏有限公司及下属单位完成电力交易市场准入，涵盖数字CA办理、售电合同绑定等事宜；代理参与年度、季度、月度电力交易；按周期（月/季/年）提交交易结果分析报告，报告内容需包含精准成本测算及风险预警。</w:t>
      </w:r>
    </w:p>
    <w:p w14:paraId="7B15158E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用电基础数据（最终以实际发生为准）：</w:t>
      </w:r>
    </w:p>
    <w:p w14:paraId="356AD4ED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新远东电缆有限公司：25年截止9月份市电总用量8879万度，25年市电总用电量预估1.20亿度，预估新远东电缆有限公司本次采购总用电量1.3亿度，电压等级110kV（户号：1700134133）。</w:t>
      </w:r>
    </w:p>
    <w:p w14:paraId="21A3511A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远东电池江苏有限公司：预估本次采购总用电量3000万度（户号：3201114527722）。</w:t>
      </w:r>
    </w:p>
    <w:p w14:paraId="27FEC330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关键用电特性：企业全年24小时连续生产，用电负荷均衡无大幅波动。投标方务必依据此特性制定科学合理的交易策略，全力保障供电稳定性。</w:t>
      </w:r>
    </w:p>
    <w:p w14:paraId="6E102B1C">
      <w:pPr>
        <w:spacing w:line="240" w:lineRule="auto"/>
        <w:rPr>
          <w:rFonts w:hint="eastAsia" w:ascii="楷体_GB2312" w:hAnsi="宋体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b/>
          <w:bCs/>
          <w:sz w:val="32"/>
          <w:szCs w:val="32"/>
          <w:lang w:val="en-US" w:eastAsia="zh-CN"/>
        </w:rPr>
        <w:t>三、投标单位资质及文件要求</w:t>
      </w:r>
    </w:p>
    <w:p w14:paraId="5A9A4EB0">
      <w:pPr>
        <w:spacing w:line="240" w:lineRule="auto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b/>
          <w:bCs/>
          <w:sz w:val="32"/>
          <w:szCs w:val="32"/>
          <w:lang w:val="en-US" w:eastAsia="zh-CN"/>
        </w:rPr>
        <w:t>1、基础资质文件（均需加盖公章，原件备查）：</w:t>
      </w:r>
    </w:p>
    <w:p w14:paraId="3BB8085A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企业法人营业执照副本复印件，经营范围需明确包含售电相关业务。</w:t>
      </w:r>
    </w:p>
    <w:p w14:paraId="2BD5F00B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法定代表人身份证复印件；授权人身份证复印件及授权委托书，委托书需清晰明确授权范围及有效期。</w:t>
      </w:r>
    </w:p>
    <w:p w14:paraId="37FF8969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江苏省电力交易中心注册公示截图及正式售电资质文件，且需在有效期内，无任何违规记录。</w:t>
      </w:r>
    </w:p>
    <w:p w14:paraId="36510015">
      <w:pPr>
        <w:spacing w:line="240" w:lineRule="auto"/>
        <w:rPr>
          <w:rFonts w:hint="eastAsia" w:ascii="楷体_GB2312" w:hAnsi="宋体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b/>
          <w:bCs/>
          <w:sz w:val="32"/>
          <w:szCs w:val="32"/>
          <w:lang w:val="en-US" w:eastAsia="zh-CN"/>
        </w:rPr>
        <w:t>2、实力证明文件：</w:t>
      </w:r>
    </w:p>
    <w:p w14:paraId="742E3025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电厂背景证明：若有电厂控股/合作关系，需提供股权证明、购电协议；若无相关证明可通过缴纳保证金或实体企业担保的方式参与。</w:t>
      </w:r>
    </w:p>
    <w:p w14:paraId="3A3CF4CD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专业团队证明：提供至少5名持有电力交易相关资格证书的人员资料，包括证书复印件、社保缴纳证明，以证明团队专业性。</w:t>
      </w:r>
    </w:p>
    <w:p w14:paraId="52CB189E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售电资源说明：清晰明确江苏省内/外购电比例，提供购电电厂清单（包含电厂名称、合作年限、年供应量），以及单份电量≥5000万度的购电合同复印件（至少1份），展示资源获取能力。</w:t>
      </w:r>
    </w:p>
    <w:p w14:paraId="7E6E5817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业绩证明：提供近2年在江苏省内服务工业企业（用电量≥5000万度/年）的售电业绩表，需包含客户名称、合作周期、实际优惠电价、无投诉证明，彰显过往服务成效。</w:t>
      </w:r>
    </w:p>
    <w:p w14:paraId="6B724B65">
      <w:pPr>
        <w:spacing w:line="240" w:lineRule="auto"/>
        <w:rPr>
          <w:rFonts w:hint="eastAsia" w:ascii="楷体_GB2312" w:hAnsi="宋体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b/>
          <w:bCs/>
          <w:sz w:val="32"/>
          <w:szCs w:val="32"/>
          <w:lang w:val="en-US" w:eastAsia="zh-CN"/>
        </w:rPr>
        <w:t>四、报价及合作条款</w:t>
      </w:r>
    </w:p>
    <w:p w14:paraId="4592056E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highlight w:val="none"/>
          <w:lang w:val="en-US" w:eastAsia="zh-CN"/>
        </w:rPr>
        <w:t>报价要求：提供售电公司优惠报价及条款，必须明确“年度长协优惠电价”和“月度竞价优惠幅度”，承诺竞价价差不低于市场平均水平。以及是否包偏差考核范围等内容</w:t>
      </w:r>
    </w:p>
    <w:p w14:paraId="780E0EBF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highlight w:val="none"/>
          <w:lang w:val="en-US" w:eastAsia="zh-CN"/>
        </w:rPr>
        <w:t>价格调整机制：需清晰明确因政策、煤价等不可抗力导致电价变动时的调整流程，调整前需提前15日书面报备我司，未经我方书面同意，严禁擅自涨价。</w:t>
      </w:r>
    </w:p>
    <w:p w14:paraId="37EBCE31">
      <w:pPr>
        <w:spacing w:line="240" w:lineRule="auto"/>
        <w:rPr>
          <w:rFonts w:hint="eastAsia" w:ascii="楷体_GB2312" w:hAnsi="宋体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b/>
          <w:bCs/>
          <w:sz w:val="32"/>
          <w:szCs w:val="32"/>
          <w:lang w:val="en-US" w:eastAsia="zh-CN"/>
        </w:rPr>
        <w:t>五、增值服务</w:t>
      </w:r>
    </w:p>
    <w:p w14:paraId="745D511F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投标方需明确可提供的增值服务，例如：</w:t>
      </w:r>
    </w:p>
    <w:p w14:paraId="0C0222B1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绿证服务：承诺可协助申请绿证，且确保绿证获取成本不高于市场均价，助力企业绿色发展。</w:t>
      </w:r>
    </w:p>
    <w:p w14:paraId="46DAAF02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综合能源服务：提供免费的用电能效诊断报告，每年至少2次，并给出切实可行的节能改造建议，降低企业用电成本。</w:t>
      </w:r>
    </w:p>
    <w:p w14:paraId="3C36DC8D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检修服务：协调电厂提供免费的用电设备半年度巡检，每年至少2次，保障设备稳定运行，减少故障损失。</w:t>
      </w:r>
    </w:p>
    <w:p w14:paraId="2C93C83C">
      <w:pPr>
        <w:spacing w:line="240" w:lineRule="auto"/>
        <w:rPr>
          <w:rFonts w:hint="eastAsia" w:ascii="楷体_GB2312" w:hAnsi="宋体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b/>
          <w:bCs/>
          <w:sz w:val="32"/>
          <w:szCs w:val="32"/>
          <w:lang w:val="en-US" w:eastAsia="zh-CN"/>
        </w:rPr>
        <w:t>六、评标原则</w:t>
      </w:r>
    </w:p>
    <w:p w14:paraId="381D63BE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售电公司投标前需仔细分析市场和自己的综合实力，本着双赢的原则，报出双方都能接受的合理优惠价格，公司严格遵循“安全优先、成本最优、服务匹配”的原则，优先选择资质齐全、电厂资源稳定、报价优惠幅度大、包偏差考核、增值服务完善的投标方，全方位确保我方用电安全及成本利益最大化。</w:t>
      </w:r>
    </w:p>
    <w:p w14:paraId="53DF1E5E">
      <w:pPr>
        <w:spacing w:line="240" w:lineRule="auto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b/>
          <w:bCs/>
          <w:sz w:val="32"/>
          <w:szCs w:val="32"/>
          <w:lang w:val="en-US" w:eastAsia="zh-CN"/>
        </w:rPr>
        <w:t>七、截标日期及快递地址</w:t>
      </w:r>
      <w:bookmarkStart w:id="0" w:name="_GoBack"/>
      <w:bookmarkEnd w:id="0"/>
    </w:p>
    <w:p w14:paraId="389D6EAD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标书快递地址为：宜兴市高塍镇远东路8号107室，杨剑收，电话18861779123</w:t>
      </w:r>
    </w:p>
    <w:p w14:paraId="65FAC8FB">
      <w:pPr>
        <w:spacing w:line="240" w:lineRule="auto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lang w:val="en-US" w:eastAsia="zh-CN"/>
        </w:rPr>
        <w:t>标书快递截止日期为10月25日下午17:00前</w:t>
      </w:r>
    </w:p>
    <w:p w14:paraId="07A15F06">
      <w:pPr>
        <w:spacing w:line="240" w:lineRule="auto"/>
        <w:ind w:firstLine="640" w:firstLineChars="200"/>
        <w:jc w:val="right"/>
        <w:rPr>
          <w:rFonts w:hint="eastAsia" w:ascii="楷体_GB2312" w:hAnsi="宋体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C48E1"/>
    <w:rsid w:val="08856D48"/>
    <w:rsid w:val="0C1609C3"/>
    <w:rsid w:val="0F4C5F6E"/>
    <w:rsid w:val="165C48E1"/>
    <w:rsid w:val="2F49738C"/>
    <w:rsid w:val="311B6DA1"/>
    <w:rsid w:val="438C1210"/>
    <w:rsid w:val="44580936"/>
    <w:rsid w:val="47A042A4"/>
    <w:rsid w:val="58456B61"/>
    <w:rsid w:val="76B20D7B"/>
    <w:rsid w:val="7706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1376</Words>
  <Characters>1440</Characters>
  <Lines>0</Lines>
  <Paragraphs>0</Paragraphs>
  <TotalTime>1</TotalTime>
  <ScaleCrop>false</ScaleCrop>
  <LinksUpToDate>false</LinksUpToDate>
  <CharactersWithSpaces>1440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2025-09-01T05:27:00Z</dcterms:created>
  <dc:creator>山河不入梦</dc:creator>
  <cp:lastModifiedBy>小杨</cp:lastModifiedBy>
  <dcterms:modified xsi:type="dcterms:W3CDTF">2025-10-17T06:17:55Z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34CF37A2C3204FB88726A54581403F37_11</vt:lpwstr>
  </property>
  <property fmtid="{D5CDD505-2E9C-101B-9397-08002B2CF9AE}" pid="4" name="KSOTemplateDocerSaveRecord">
    <vt:lpwstr>eyJoZGlkIjoiYWFhZDEzZTE2ODA4NjcwMGM1ZWQzNjZhZDkyNjhlZTIiLCJ1c2VySWQiOiIxMTUwNjY4NTA5In0=</vt:lpwstr>
  </property>
</Properties>
</file>