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2D0" w:rsidRDefault="00CA2574" w:rsidP="00C74843">
      <w:pPr>
        <w:widowControl/>
        <w:shd w:val="clear" w:color="auto" w:fill="FFFFFF"/>
        <w:spacing w:line="480" w:lineRule="atLeast"/>
        <w:ind w:firstLineChars="700" w:firstLine="2240"/>
        <w:rPr>
          <w:rFonts w:ascii="微软雅黑" w:eastAsia="微软雅黑" w:hAnsi="微软雅黑" w:cs="微软雅黑"/>
          <w:b/>
          <w:color w:val="383838"/>
          <w:kern w:val="0"/>
          <w:sz w:val="32"/>
          <w:szCs w:val="32"/>
        </w:rPr>
      </w:pPr>
      <w:r>
        <w:rPr>
          <w:rFonts w:ascii="微软雅黑" w:eastAsia="微软雅黑" w:hAnsi="微软雅黑" w:cs="微软雅黑" w:hint="eastAsia"/>
          <w:b/>
          <w:color w:val="383838"/>
          <w:kern w:val="0"/>
          <w:sz w:val="32"/>
          <w:szCs w:val="32"/>
        </w:rPr>
        <w:t>污水处理站委外运维招标书</w:t>
      </w:r>
    </w:p>
    <w:p w:rsidR="00C74843" w:rsidRDefault="00C74843" w:rsidP="00C74843">
      <w:pPr>
        <w:spacing w:line="600" w:lineRule="exact"/>
        <w:ind w:firstLineChars="1000" w:firstLine="2100"/>
        <w:rPr>
          <w:rFonts w:ascii="宋体" w:hAnsi="宋体"/>
          <w:sz w:val="28"/>
          <w:szCs w:val="28"/>
        </w:rPr>
      </w:pPr>
      <w:r>
        <w:rPr>
          <w:rFonts w:hint="eastAsia"/>
        </w:rPr>
        <w:t xml:space="preserve"> </w:t>
      </w:r>
      <w:r>
        <w:t xml:space="preserve">                                     </w:t>
      </w:r>
      <w:r w:rsidRPr="00C74843">
        <w:rPr>
          <w:rFonts w:ascii="宋体" w:hAnsi="宋体" w:hint="eastAsia"/>
          <w:sz w:val="22"/>
          <w:szCs w:val="28"/>
        </w:rPr>
        <w:t>招标书编号：F</w:t>
      </w:r>
      <w:r w:rsidRPr="00C74843">
        <w:rPr>
          <w:rFonts w:ascii="宋体" w:hAnsi="宋体"/>
          <w:sz w:val="22"/>
          <w:szCs w:val="28"/>
        </w:rPr>
        <w:t>EB</w:t>
      </w:r>
      <w:r w:rsidRPr="00C74843">
        <w:rPr>
          <w:rFonts w:ascii="宋体" w:hAnsi="宋体" w:hint="eastAsia"/>
          <w:sz w:val="22"/>
          <w:szCs w:val="28"/>
        </w:rPr>
        <w:t>2023111</w:t>
      </w:r>
      <w:r w:rsidRPr="00C74843">
        <w:rPr>
          <w:rFonts w:ascii="宋体" w:hAnsi="宋体"/>
          <w:sz w:val="22"/>
          <w:szCs w:val="28"/>
        </w:rPr>
        <w:t>7-01</w:t>
      </w:r>
    </w:p>
    <w:p w:rsidR="00C74843" w:rsidRPr="00C74843" w:rsidRDefault="00C74843" w:rsidP="00C74843">
      <w:pPr>
        <w:pStyle w:val="2"/>
      </w:pPr>
    </w:p>
    <w:p w:rsidR="00B042D0" w:rsidRDefault="00CA2574">
      <w:pPr>
        <w:pStyle w:val="1"/>
        <w:rPr>
          <w:rFonts w:ascii="微软雅黑" w:eastAsia="微软雅黑" w:hAnsi="微软雅黑" w:cs="微软雅黑"/>
          <w:b w:val="0"/>
          <w:bCs/>
        </w:rPr>
      </w:pPr>
      <w:bookmarkStart w:id="0" w:name="_Toc22655"/>
      <w:bookmarkStart w:id="1" w:name="_Toc453840125"/>
      <w:bookmarkStart w:id="2" w:name="_Toc453840347"/>
      <w:r>
        <w:rPr>
          <w:rFonts w:ascii="微软雅黑" w:eastAsia="微软雅黑" w:hAnsi="微软雅黑" w:cs="微软雅黑" w:hint="eastAsia"/>
          <w:b w:val="0"/>
          <w:bCs/>
        </w:rPr>
        <w:t>一、项目概况</w:t>
      </w:r>
      <w:bookmarkEnd w:id="0"/>
      <w:bookmarkEnd w:id="1"/>
      <w:bookmarkEnd w:id="2"/>
    </w:p>
    <w:p w:rsidR="00B042D0" w:rsidRDefault="00CA2574">
      <w:pPr>
        <w:ind w:firstLine="480"/>
        <w:rPr>
          <w:rFonts w:ascii="微软雅黑" w:eastAsia="微软雅黑" w:hAnsi="微软雅黑" w:cs="微软雅黑"/>
          <w:sz w:val="24"/>
          <w:szCs w:val="24"/>
        </w:rPr>
      </w:pPr>
      <w:bookmarkStart w:id="3" w:name="_Toc453840348"/>
      <w:bookmarkStart w:id="4" w:name="_Toc453840126"/>
      <w:r>
        <w:rPr>
          <w:rFonts w:ascii="微软雅黑" w:eastAsia="微软雅黑" w:hAnsi="微软雅黑" w:cs="微软雅黑" w:hint="eastAsia"/>
          <w:sz w:val="24"/>
          <w:szCs w:val="24"/>
        </w:rPr>
        <w:t>江西远东电池有限公司已按相关环保标准要求建成处理规模800吨/天的污水处理站一座，稳定运行三年。现拟委托第三方环保公司进行运维。</w:t>
      </w:r>
    </w:p>
    <w:p w:rsidR="00B042D0" w:rsidRDefault="00CA2574">
      <w:pPr>
        <w:spacing w:beforeLines="50" w:before="156"/>
        <w:outlineLvl w:val="1"/>
        <w:rPr>
          <w:rFonts w:ascii="微软雅黑" w:eastAsia="微软雅黑" w:hAnsi="微软雅黑" w:cs="微软雅黑"/>
          <w:bCs/>
          <w:sz w:val="28"/>
        </w:rPr>
      </w:pPr>
      <w:bookmarkStart w:id="5" w:name="_Toc20369"/>
      <w:bookmarkStart w:id="6" w:name="_Toc453840349"/>
      <w:bookmarkStart w:id="7" w:name="_Toc453840127"/>
      <w:bookmarkEnd w:id="3"/>
      <w:bookmarkEnd w:id="4"/>
      <w:r>
        <w:rPr>
          <w:rFonts w:ascii="微软雅黑" w:eastAsia="微软雅黑" w:hAnsi="微软雅黑" w:cs="微软雅黑" w:hint="eastAsia"/>
          <w:bCs/>
          <w:sz w:val="28"/>
        </w:rPr>
        <w:t>1.1项目出水水质排放标准</w:t>
      </w:r>
      <w:bookmarkEnd w:id="5"/>
      <w:bookmarkEnd w:id="6"/>
      <w:bookmarkEnd w:id="7"/>
    </w:p>
    <w:p w:rsidR="00B042D0" w:rsidRDefault="00CA2574">
      <w:pPr>
        <w:ind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t>水质排放标准如下：</w:t>
      </w:r>
    </w:p>
    <w:p w:rsidR="00B042D0" w:rsidRDefault="00CA2574">
      <w:pPr>
        <w:spacing w:before="240"/>
        <w:ind w:firstLine="482"/>
        <w:jc w:val="left"/>
        <w:rPr>
          <w:rFonts w:ascii="微软雅黑" w:eastAsia="微软雅黑" w:hAnsi="微软雅黑" w:cs="微软雅黑"/>
          <w:b/>
          <w:sz w:val="24"/>
          <w:szCs w:val="24"/>
        </w:rPr>
      </w:pPr>
      <w:r>
        <w:rPr>
          <w:rFonts w:ascii="微软雅黑" w:eastAsia="微软雅黑" w:hAnsi="微软雅黑" w:cs="微软雅黑" w:hint="eastAsia"/>
          <w:b/>
          <w:sz w:val="24"/>
          <w:szCs w:val="24"/>
        </w:rPr>
        <w:t>表1-1  污水厂外排水水质排放标准</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86"/>
        <w:gridCol w:w="1773"/>
        <w:gridCol w:w="1432"/>
        <w:gridCol w:w="1214"/>
        <w:gridCol w:w="1322"/>
        <w:gridCol w:w="1759"/>
      </w:tblGrid>
      <w:tr w:rsidR="00B042D0">
        <w:tc>
          <w:tcPr>
            <w:tcW w:w="1211" w:type="dxa"/>
            <w:vAlign w:val="center"/>
          </w:tcPr>
          <w:p w:rsidR="00B042D0" w:rsidRDefault="00CA2574">
            <w:pPr>
              <w:pStyle w:val="a5"/>
              <w:spacing w:before="0" w:after="0" w:line="276" w:lineRule="auto"/>
              <w:rPr>
                <w:rFonts w:ascii="微软雅黑" w:eastAsia="微软雅黑" w:hAnsi="微软雅黑" w:cs="微软雅黑"/>
                <w:b/>
                <w:sz w:val="24"/>
                <w:szCs w:val="24"/>
              </w:rPr>
            </w:pPr>
            <w:r>
              <w:rPr>
                <w:rFonts w:ascii="微软雅黑" w:eastAsia="微软雅黑" w:hAnsi="微软雅黑" w:cs="微软雅黑" w:hint="eastAsia"/>
                <w:b/>
                <w:sz w:val="24"/>
                <w:szCs w:val="24"/>
              </w:rPr>
              <w:t>污染物</w:t>
            </w:r>
          </w:p>
        </w:tc>
        <w:tc>
          <w:tcPr>
            <w:tcW w:w="886" w:type="dxa"/>
            <w:vAlign w:val="center"/>
          </w:tcPr>
          <w:p w:rsidR="00B042D0" w:rsidRDefault="00CA2574">
            <w:pPr>
              <w:pStyle w:val="a5"/>
              <w:spacing w:before="0" w:after="0" w:line="276" w:lineRule="auto"/>
              <w:rPr>
                <w:rFonts w:ascii="微软雅黑" w:eastAsia="微软雅黑" w:hAnsi="微软雅黑" w:cs="微软雅黑"/>
                <w:b/>
                <w:sz w:val="24"/>
                <w:szCs w:val="24"/>
              </w:rPr>
            </w:pPr>
            <w:r>
              <w:rPr>
                <w:rFonts w:ascii="微软雅黑" w:eastAsia="微软雅黑" w:hAnsi="微软雅黑" w:cs="微软雅黑" w:hint="eastAsia"/>
                <w:b/>
                <w:sz w:val="24"/>
                <w:szCs w:val="24"/>
              </w:rPr>
              <w:t>pH</w:t>
            </w:r>
          </w:p>
        </w:tc>
        <w:tc>
          <w:tcPr>
            <w:tcW w:w="1773" w:type="dxa"/>
            <w:vAlign w:val="center"/>
          </w:tcPr>
          <w:p w:rsidR="00B042D0" w:rsidRDefault="00CA2574">
            <w:pPr>
              <w:pStyle w:val="a5"/>
              <w:spacing w:before="0" w:after="0" w:line="276" w:lineRule="auto"/>
              <w:rPr>
                <w:rFonts w:ascii="微软雅黑" w:eastAsia="微软雅黑" w:hAnsi="微软雅黑" w:cs="微软雅黑"/>
                <w:b/>
                <w:sz w:val="24"/>
                <w:szCs w:val="24"/>
              </w:rPr>
            </w:pPr>
            <w:r>
              <w:rPr>
                <w:rFonts w:ascii="微软雅黑" w:eastAsia="微软雅黑" w:hAnsi="微软雅黑" w:cs="微软雅黑" w:hint="eastAsia"/>
                <w:b/>
                <w:sz w:val="24"/>
                <w:szCs w:val="24"/>
              </w:rPr>
              <w:t>COD</w:t>
            </w:r>
            <w:r>
              <w:rPr>
                <w:rFonts w:ascii="微软雅黑" w:eastAsia="微软雅黑" w:hAnsi="微软雅黑" w:cs="微软雅黑" w:hint="eastAsia"/>
                <w:b/>
                <w:sz w:val="24"/>
                <w:szCs w:val="24"/>
                <w:vertAlign w:val="subscript"/>
              </w:rPr>
              <w:t>Cr</w:t>
            </w:r>
            <w:r>
              <w:rPr>
                <w:rFonts w:ascii="微软雅黑" w:eastAsia="微软雅黑" w:hAnsi="微软雅黑" w:cs="微软雅黑" w:hint="eastAsia"/>
                <w:b/>
                <w:sz w:val="24"/>
                <w:szCs w:val="24"/>
              </w:rPr>
              <w:t>(mg/L)</w:t>
            </w:r>
          </w:p>
        </w:tc>
        <w:tc>
          <w:tcPr>
            <w:tcW w:w="1432" w:type="dxa"/>
            <w:vAlign w:val="center"/>
          </w:tcPr>
          <w:p w:rsidR="00B042D0" w:rsidRDefault="00CA2574">
            <w:pPr>
              <w:pStyle w:val="a5"/>
              <w:spacing w:before="0" w:after="0" w:line="276" w:lineRule="auto"/>
              <w:rPr>
                <w:rFonts w:ascii="微软雅黑" w:eastAsia="微软雅黑" w:hAnsi="微软雅黑" w:cs="微软雅黑"/>
                <w:b/>
                <w:sz w:val="24"/>
                <w:szCs w:val="24"/>
              </w:rPr>
            </w:pPr>
            <w:r>
              <w:rPr>
                <w:rFonts w:ascii="微软雅黑" w:eastAsia="微软雅黑" w:hAnsi="微软雅黑" w:cs="微软雅黑" w:hint="eastAsia"/>
                <w:b/>
                <w:sz w:val="24"/>
                <w:szCs w:val="24"/>
              </w:rPr>
              <w:t>SS(mg/L)</w:t>
            </w:r>
          </w:p>
        </w:tc>
        <w:tc>
          <w:tcPr>
            <w:tcW w:w="1214" w:type="dxa"/>
            <w:vAlign w:val="center"/>
          </w:tcPr>
          <w:p w:rsidR="00B042D0" w:rsidRDefault="00CA2574">
            <w:pPr>
              <w:pStyle w:val="a5"/>
              <w:spacing w:before="0" w:after="0" w:line="276" w:lineRule="auto"/>
              <w:rPr>
                <w:rFonts w:ascii="微软雅黑" w:eastAsia="微软雅黑" w:hAnsi="微软雅黑" w:cs="微软雅黑"/>
                <w:b/>
                <w:sz w:val="24"/>
                <w:szCs w:val="24"/>
              </w:rPr>
            </w:pPr>
            <w:r>
              <w:rPr>
                <w:rFonts w:ascii="微软雅黑" w:eastAsia="微软雅黑" w:hAnsi="微软雅黑" w:cs="微软雅黑" w:hint="eastAsia"/>
                <w:b/>
                <w:sz w:val="24"/>
                <w:szCs w:val="24"/>
              </w:rPr>
              <w:t>氨氮(mg/L)</w:t>
            </w:r>
          </w:p>
        </w:tc>
        <w:tc>
          <w:tcPr>
            <w:tcW w:w="1322" w:type="dxa"/>
            <w:vAlign w:val="center"/>
          </w:tcPr>
          <w:p w:rsidR="00B042D0" w:rsidRDefault="00CA2574">
            <w:pPr>
              <w:pStyle w:val="a5"/>
              <w:spacing w:before="0" w:after="0" w:line="276" w:lineRule="auto"/>
              <w:rPr>
                <w:rFonts w:ascii="微软雅黑" w:eastAsia="微软雅黑" w:hAnsi="微软雅黑" w:cs="微软雅黑"/>
                <w:b/>
                <w:sz w:val="24"/>
                <w:szCs w:val="24"/>
              </w:rPr>
            </w:pPr>
            <w:r>
              <w:rPr>
                <w:rFonts w:ascii="微软雅黑" w:eastAsia="微软雅黑" w:hAnsi="微软雅黑" w:cs="微软雅黑" w:hint="eastAsia"/>
                <w:b/>
                <w:sz w:val="24"/>
                <w:szCs w:val="24"/>
              </w:rPr>
              <w:t>总磷(mg/L)</w:t>
            </w:r>
          </w:p>
        </w:tc>
        <w:tc>
          <w:tcPr>
            <w:tcW w:w="1759" w:type="dxa"/>
            <w:vAlign w:val="center"/>
          </w:tcPr>
          <w:p w:rsidR="00B042D0" w:rsidRDefault="00CA2574">
            <w:pPr>
              <w:pStyle w:val="a5"/>
              <w:spacing w:before="0" w:after="0" w:line="276" w:lineRule="auto"/>
              <w:rPr>
                <w:rFonts w:ascii="微软雅黑" w:eastAsia="微软雅黑" w:hAnsi="微软雅黑" w:cs="微软雅黑"/>
                <w:b/>
                <w:sz w:val="24"/>
                <w:szCs w:val="24"/>
              </w:rPr>
            </w:pPr>
            <w:r>
              <w:rPr>
                <w:rFonts w:ascii="微软雅黑" w:eastAsia="微软雅黑" w:hAnsi="微软雅黑" w:cs="微软雅黑" w:hint="eastAsia"/>
                <w:b/>
                <w:sz w:val="24"/>
                <w:szCs w:val="24"/>
              </w:rPr>
              <w:t>总氮(mg/L)</w:t>
            </w:r>
          </w:p>
        </w:tc>
      </w:tr>
      <w:tr w:rsidR="00B042D0">
        <w:tc>
          <w:tcPr>
            <w:tcW w:w="1211" w:type="dxa"/>
            <w:vAlign w:val="center"/>
          </w:tcPr>
          <w:p w:rsidR="00B042D0" w:rsidRDefault="00CA2574">
            <w:pPr>
              <w:pStyle w:val="a5"/>
              <w:spacing w:before="0" w:after="0" w:line="276" w:lineRule="auto"/>
              <w:rPr>
                <w:rFonts w:ascii="微软雅黑" w:eastAsia="微软雅黑" w:hAnsi="微软雅黑" w:cs="微软雅黑"/>
                <w:sz w:val="24"/>
                <w:szCs w:val="24"/>
              </w:rPr>
            </w:pPr>
            <w:r>
              <w:rPr>
                <w:rFonts w:ascii="微软雅黑" w:eastAsia="微软雅黑" w:hAnsi="微软雅黑" w:cs="微软雅黑" w:hint="eastAsia"/>
                <w:sz w:val="24"/>
                <w:szCs w:val="24"/>
              </w:rPr>
              <w:t>排放标准</w:t>
            </w:r>
          </w:p>
        </w:tc>
        <w:tc>
          <w:tcPr>
            <w:tcW w:w="886" w:type="dxa"/>
            <w:vAlign w:val="center"/>
          </w:tcPr>
          <w:p w:rsidR="00B042D0" w:rsidRDefault="00706875">
            <w:pPr>
              <w:pStyle w:val="a5"/>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7</w:t>
            </w:r>
            <w:r w:rsidR="00CA2574">
              <w:rPr>
                <w:rFonts w:ascii="微软雅黑" w:eastAsia="微软雅黑" w:hAnsi="微软雅黑" w:cs="微软雅黑" w:hint="eastAsia"/>
                <w:sz w:val="24"/>
                <w:szCs w:val="24"/>
              </w:rPr>
              <w:t>~9</w:t>
            </w:r>
          </w:p>
        </w:tc>
        <w:tc>
          <w:tcPr>
            <w:tcW w:w="1773" w:type="dxa"/>
            <w:vAlign w:val="center"/>
          </w:tcPr>
          <w:p w:rsidR="00B042D0" w:rsidRDefault="00CA2574">
            <w:pPr>
              <w:pStyle w:val="a5"/>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≤70</w:t>
            </w:r>
          </w:p>
        </w:tc>
        <w:tc>
          <w:tcPr>
            <w:tcW w:w="1432" w:type="dxa"/>
            <w:vAlign w:val="center"/>
          </w:tcPr>
          <w:p w:rsidR="00B042D0" w:rsidRDefault="00CA2574">
            <w:pPr>
              <w:pStyle w:val="a5"/>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≤50</w:t>
            </w:r>
          </w:p>
        </w:tc>
        <w:tc>
          <w:tcPr>
            <w:tcW w:w="1214" w:type="dxa"/>
            <w:vAlign w:val="center"/>
          </w:tcPr>
          <w:p w:rsidR="00B042D0" w:rsidRDefault="00CA2574">
            <w:pPr>
              <w:pStyle w:val="a5"/>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≤10</w:t>
            </w:r>
          </w:p>
        </w:tc>
        <w:tc>
          <w:tcPr>
            <w:tcW w:w="1322" w:type="dxa"/>
            <w:vAlign w:val="center"/>
          </w:tcPr>
          <w:p w:rsidR="00B042D0" w:rsidRDefault="00CA2574">
            <w:pPr>
              <w:pStyle w:val="a5"/>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≤0.5</w:t>
            </w:r>
          </w:p>
        </w:tc>
        <w:tc>
          <w:tcPr>
            <w:tcW w:w="1759" w:type="dxa"/>
            <w:vAlign w:val="center"/>
          </w:tcPr>
          <w:p w:rsidR="00B042D0" w:rsidRDefault="00CA2574">
            <w:pPr>
              <w:pStyle w:val="a5"/>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≤15</w:t>
            </w:r>
          </w:p>
        </w:tc>
      </w:tr>
    </w:tbl>
    <w:p w:rsidR="00B042D0" w:rsidRDefault="00CA2574">
      <w:pPr>
        <w:adjustRightInd w:val="0"/>
        <w:spacing w:beforeLines="50" w:before="156" w:after="240"/>
        <w:jc w:val="left"/>
        <w:outlineLvl w:val="1"/>
        <w:rPr>
          <w:rFonts w:ascii="微软雅黑" w:eastAsia="微软雅黑" w:hAnsi="微软雅黑" w:cs="微软雅黑"/>
          <w:b/>
          <w:sz w:val="28"/>
        </w:rPr>
      </w:pPr>
      <w:bookmarkStart w:id="8" w:name="_Toc453840350"/>
      <w:bookmarkStart w:id="9" w:name="_Toc899"/>
      <w:bookmarkStart w:id="10" w:name="_Toc453840128"/>
      <w:r>
        <w:rPr>
          <w:rFonts w:ascii="微软雅黑" w:eastAsia="微软雅黑" w:hAnsi="微软雅黑" w:cs="微软雅黑" w:hint="eastAsia"/>
          <w:b/>
          <w:sz w:val="28"/>
        </w:rPr>
        <w:t>1.2 项目工艺流程</w:t>
      </w:r>
      <w:bookmarkEnd w:id="8"/>
      <w:bookmarkEnd w:id="9"/>
      <w:bookmarkEnd w:id="10"/>
      <w:r>
        <w:rPr>
          <w:noProof/>
        </w:rPr>
        <w:drawing>
          <wp:inline distT="0" distB="0" distL="114300" distR="114300">
            <wp:extent cx="6188075" cy="1854835"/>
            <wp:effectExtent l="0" t="0" r="3175"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6188075" cy="1854835"/>
                    </a:xfrm>
                    <a:prstGeom prst="rect">
                      <a:avLst/>
                    </a:prstGeom>
                    <a:noFill/>
                    <a:ln w="9525">
                      <a:noFill/>
                    </a:ln>
                  </pic:spPr>
                </pic:pic>
              </a:graphicData>
            </a:graphic>
          </wp:inline>
        </w:drawing>
      </w:r>
    </w:p>
    <w:p w:rsidR="00B042D0" w:rsidRDefault="00B042D0">
      <w:pPr>
        <w:jc w:val="center"/>
        <w:rPr>
          <w:rFonts w:ascii="微软雅黑" w:eastAsia="微软雅黑" w:hAnsi="微软雅黑" w:cs="微软雅黑"/>
          <w:b/>
          <w:szCs w:val="21"/>
        </w:rPr>
      </w:pPr>
    </w:p>
    <w:p w:rsidR="00B042D0" w:rsidRDefault="00CA2574">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图1 废水处理工艺流程图</w:t>
      </w:r>
    </w:p>
    <w:p w:rsidR="00B042D0" w:rsidRDefault="00B042D0">
      <w:pPr>
        <w:widowControl/>
        <w:shd w:val="clear" w:color="auto" w:fill="FFFFFF"/>
        <w:spacing w:line="480" w:lineRule="atLeast"/>
        <w:ind w:firstLineChars="150" w:firstLine="360"/>
        <w:jc w:val="left"/>
        <w:rPr>
          <w:rFonts w:ascii="微软雅黑" w:eastAsia="微软雅黑" w:hAnsi="微软雅黑" w:cs="微软雅黑"/>
          <w:color w:val="383838"/>
          <w:kern w:val="0"/>
          <w:sz w:val="24"/>
          <w:szCs w:val="24"/>
        </w:rPr>
      </w:pPr>
    </w:p>
    <w:p w:rsidR="00B042D0" w:rsidRDefault="00B042D0">
      <w:pPr>
        <w:widowControl/>
        <w:shd w:val="clear" w:color="auto" w:fill="FFFFFF"/>
        <w:spacing w:line="480" w:lineRule="atLeast"/>
        <w:ind w:firstLineChars="150" w:firstLine="360"/>
        <w:jc w:val="left"/>
        <w:rPr>
          <w:rFonts w:ascii="微软雅黑" w:eastAsia="微软雅黑" w:hAnsi="微软雅黑" w:cs="微软雅黑"/>
          <w:color w:val="383838"/>
          <w:kern w:val="0"/>
          <w:sz w:val="24"/>
          <w:szCs w:val="24"/>
        </w:rPr>
      </w:pPr>
    </w:p>
    <w:p w:rsidR="00B042D0" w:rsidRDefault="00CA2574">
      <w:pPr>
        <w:widowControl/>
        <w:shd w:val="clear" w:color="auto" w:fill="FFFFFF"/>
        <w:spacing w:line="480" w:lineRule="atLeast"/>
        <w:ind w:firstLineChars="150" w:firstLine="360"/>
        <w:jc w:val="left"/>
        <w:rPr>
          <w:rFonts w:ascii="微软雅黑" w:eastAsia="微软雅黑" w:hAnsi="微软雅黑" w:cs="微软雅黑"/>
          <w:b/>
          <w:bCs/>
          <w:color w:val="383838"/>
          <w:kern w:val="0"/>
          <w:sz w:val="24"/>
          <w:szCs w:val="24"/>
        </w:rPr>
      </w:pPr>
      <w:r>
        <w:rPr>
          <w:rFonts w:ascii="微软雅黑" w:eastAsia="微软雅黑" w:hAnsi="微软雅黑" w:cs="微软雅黑" w:hint="eastAsia"/>
          <w:b/>
          <w:bCs/>
          <w:color w:val="383838"/>
          <w:kern w:val="0"/>
          <w:sz w:val="24"/>
          <w:szCs w:val="24"/>
        </w:rPr>
        <w:t>1.3相关要求：</w:t>
      </w:r>
    </w:p>
    <w:p w:rsidR="00B042D0" w:rsidRDefault="00CA2574">
      <w:pPr>
        <w:widowControl/>
        <w:shd w:val="clear" w:color="auto" w:fill="FFFFFF"/>
        <w:spacing w:line="480" w:lineRule="atLeast"/>
        <w:ind w:firstLineChars="250" w:firstLine="600"/>
        <w:jc w:val="left"/>
        <w:rPr>
          <w:rFonts w:ascii="微软雅黑" w:eastAsia="微软雅黑" w:hAnsi="微软雅黑" w:cs="微软雅黑"/>
          <w:sz w:val="24"/>
          <w:szCs w:val="24"/>
        </w:rPr>
      </w:pPr>
      <w:r>
        <w:rPr>
          <w:rFonts w:ascii="微软雅黑" w:eastAsia="微软雅黑" w:hAnsi="微软雅黑" w:cs="微软雅黑" w:hint="eastAsia"/>
          <w:color w:val="383838"/>
          <w:kern w:val="0"/>
          <w:sz w:val="24"/>
          <w:szCs w:val="24"/>
        </w:rPr>
        <w:t>运维方根据污水处理站运行工艺、现有的污水处理建构筑物、应建立行之有效的管理规程、规范、运维优化以及管理维护手册，确保在整个运营期内，污水处理站的污水稳定达标排放。在运维期间污水站发生环境事故负全责。</w:t>
      </w:r>
    </w:p>
    <w:p w:rsidR="00B042D0" w:rsidRDefault="00CA2574">
      <w:pPr>
        <w:widowControl/>
        <w:shd w:val="clear" w:color="auto" w:fill="FFFFFF"/>
        <w:spacing w:line="480" w:lineRule="atLeast"/>
        <w:ind w:firstLineChars="50" w:firstLine="120"/>
        <w:jc w:val="left"/>
        <w:rPr>
          <w:rFonts w:ascii="微软雅黑" w:eastAsia="微软雅黑" w:hAnsi="微软雅黑" w:cs="微软雅黑"/>
          <w:color w:val="383838"/>
          <w:kern w:val="0"/>
          <w:sz w:val="24"/>
          <w:szCs w:val="24"/>
        </w:rPr>
      </w:pPr>
      <w:r>
        <w:rPr>
          <w:rFonts w:ascii="微软雅黑" w:eastAsia="微软雅黑" w:hAnsi="微软雅黑" w:cs="微软雅黑" w:hint="eastAsia"/>
          <w:b/>
          <w:bCs/>
          <w:color w:val="383838"/>
          <w:kern w:val="0"/>
          <w:sz w:val="24"/>
          <w:szCs w:val="24"/>
        </w:rPr>
        <w:t>二、</w:t>
      </w:r>
      <w:r w:rsidR="00C74843">
        <w:rPr>
          <w:rFonts w:hint="eastAsia"/>
          <w:b/>
          <w:sz w:val="24"/>
        </w:rPr>
        <w:t>投标商需提供投标文件的内容</w:t>
      </w:r>
    </w:p>
    <w:p w:rsidR="00C74843" w:rsidRDefault="00C74843" w:rsidP="00C74843">
      <w:pPr>
        <w:widowControl/>
        <w:spacing w:beforeLines="50" w:before="156" w:line="400" w:lineRule="exact"/>
        <w:jc w:val="left"/>
        <w:rPr>
          <w:sz w:val="24"/>
        </w:rPr>
      </w:pPr>
      <w:r>
        <w:rPr>
          <w:rFonts w:hint="eastAsia"/>
          <w:sz w:val="24"/>
        </w:rPr>
        <w:t>1</w:t>
      </w:r>
      <w:r>
        <w:rPr>
          <w:rFonts w:hint="eastAsia"/>
          <w:sz w:val="24"/>
        </w:rPr>
        <w:t>、企业资质文件</w:t>
      </w:r>
    </w:p>
    <w:p w:rsidR="00C74843" w:rsidRDefault="00C74843" w:rsidP="00C74843">
      <w:pPr>
        <w:spacing w:line="400" w:lineRule="exact"/>
        <w:ind w:leftChars="267" w:left="561"/>
        <w:rPr>
          <w:color w:val="000000" w:themeColor="text1"/>
          <w:sz w:val="24"/>
        </w:rPr>
      </w:pPr>
      <w:r>
        <w:rPr>
          <w:rFonts w:hint="eastAsia"/>
          <w:color w:val="000000" w:themeColor="text1"/>
          <w:sz w:val="24"/>
        </w:rPr>
        <w:t>提供公司情况介绍、经营许可证、税务登记证书、公司对本次项目的专项授权及承诺书等有效资质证明；</w:t>
      </w:r>
      <w:r>
        <w:rPr>
          <w:color w:val="000000" w:themeColor="text1"/>
          <w:sz w:val="24"/>
        </w:rPr>
        <w:t>近三年</w:t>
      </w:r>
      <w:r>
        <w:rPr>
          <w:rFonts w:hint="eastAsia"/>
          <w:color w:val="000000" w:themeColor="text1"/>
          <w:sz w:val="24"/>
        </w:rPr>
        <w:t>同类运维服务的业绩表，用户名称、时间、联系方式及用户意见等。</w:t>
      </w:r>
    </w:p>
    <w:p w:rsidR="00C74843" w:rsidRDefault="00C74843" w:rsidP="00C74843">
      <w:pPr>
        <w:spacing w:line="400" w:lineRule="exact"/>
        <w:rPr>
          <w:sz w:val="24"/>
        </w:rPr>
      </w:pPr>
      <w:r>
        <w:rPr>
          <w:rFonts w:hint="eastAsia"/>
          <w:sz w:val="24"/>
        </w:rPr>
        <w:t>2</w:t>
      </w:r>
      <w:r>
        <w:rPr>
          <w:rFonts w:hint="eastAsia"/>
          <w:sz w:val="24"/>
        </w:rPr>
        <w:t>、技术文件：</w:t>
      </w:r>
    </w:p>
    <w:p w:rsidR="00C74843" w:rsidRDefault="00C74843" w:rsidP="00C74843">
      <w:pPr>
        <w:spacing w:line="400" w:lineRule="exact"/>
        <w:ind w:leftChars="197" w:left="414"/>
        <w:rPr>
          <w:sz w:val="24"/>
        </w:rPr>
      </w:pPr>
      <w:r>
        <w:rPr>
          <w:rFonts w:hint="eastAsia"/>
          <w:sz w:val="24"/>
        </w:rPr>
        <w:t>服务运维详细方案、人员资质证书、管理流程、体系文件、技术服务承诺、质量保证承诺等</w:t>
      </w:r>
    </w:p>
    <w:p w:rsidR="00C74843" w:rsidRDefault="00C74843" w:rsidP="00C74843">
      <w:pPr>
        <w:spacing w:line="400" w:lineRule="exact"/>
        <w:rPr>
          <w:sz w:val="24"/>
        </w:rPr>
      </w:pPr>
      <w:r>
        <w:rPr>
          <w:rFonts w:hint="eastAsia"/>
          <w:sz w:val="24"/>
        </w:rPr>
        <w:t>3</w:t>
      </w:r>
      <w:r>
        <w:rPr>
          <w:rFonts w:hint="eastAsia"/>
          <w:sz w:val="24"/>
        </w:rPr>
        <w:t>、商务文件：</w:t>
      </w:r>
    </w:p>
    <w:p w:rsidR="00C74843" w:rsidRDefault="00C74843" w:rsidP="00C74843">
      <w:pPr>
        <w:spacing w:line="400" w:lineRule="exact"/>
        <w:ind w:leftChars="200" w:left="420"/>
        <w:rPr>
          <w:sz w:val="24"/>
        </w:rPr>
      </w:pPr>
      <w:r>
        <w:rPr>
          <w:rFonts w:hint="eastAsia"/>
          <w:sz w:val="24"/>
        </w:rPr>
        <w:t>分项报价、税率、投标付款方式确认等。</w:t>
      </w:r>
    </w:p>
    <w:p w:rsidR="00C74843" w:rsidRDefault="00C74843" w:rsidP="00C74843">
      <w:pPr>
        <w:widowControl/>
        <w:spacing w:beforeLines="50" w:before="156" w:line="400" w:lineRule="exact"/>
        <w:ind w:left="360" w:hangingChars="150" w:hanging="360"/>
        <w:jc w:val="left"/>
        <w:rPr>
          <w:sz w:val="24"/>
        </w:rPr>
      </w:pPr>
      <w:r>
        <w:rPr>
          <w:rFonts w:hint="eastAsia"/>
          <w:sz w:val="24"/>
        </w:rPr>
        <w:t>4</w:t>
      </w:r>
      <w:r>
        <w:rPr>
          <w:rFonts w:hint="eastAsia"/>
          <w:color w:val="FF0000"/>
          <w:sz w:val="24"/>
        </w:rPr>
        <w:t>、投标书正本一份，副本二份，投标文件须密封并在封口签字或加盖公章</w:t>
      </w:r>
      <w:r>
        <w:rPr>
          <w:rFonts w:hint="eastAsia"/>
          <w:color w:val="FF0000"/>
          <w:sz w:val="24"/>
        </w:rPr>
        <w:t>(</w:t>
      </w:r>
      <w:r>
        <w:rPr>
          <w:rFonts w:hint="eastAsia"/>
          <w:color w:val="FF0000"/>
          <w:sz w:val="24"/>
        </w:rPr>
        <w:t>需在快递袋上注明公司名称及标书字样</w:t>
      </w:r>
      <w:r>
        <w:rPr>
          <w:rFonts w:hint="eastAsia"/>
          <w:color w:val="FF0000"/>
          <w:sz w:val="24"/>
        </w:rPr>
        <w:t>)</w:t>
      </w:r>
      <w:r>
        <w:rPr>
          <w:rFonts w:hint="eastAsia"/>
          <w:color w:val="FF0000"/>
          <w:sz w:val="24"/>
        </w:rPr>
        <w:t>。</w:t>
      </w:r>
    </w:p>
    <w:p w:rsidR="00C74843" w:rsidRPr="00C74843" w:rsidRDefault="00C74843" w:rsidP="00C74843">
      <w:pPr>
        <w:widowControl/>
        <w:spacing w:beforeLines="50" w:before="156" w:line="400" w:lineRule="exact"/>
        <w:jc w:val="left"/>
      </w:pPr>
      <w:r>
        <w:rPr>
          <w:rFonts w:hint="eastAsia"/>
          <w:sz w:val="24"/>
        </w:rPr>
        <w:t>注：可一起邮寄，但商务标书与技术标必须分开（商务报价独立密封）。</w:t>
      </w:r>
    </w:p>
    <w:p w:rsidR="00B042D0" w:rsidRDefault="00CA2574">
      <w:pPr>
        <w:widowControl/>
        <w:numPr>
          <w:ilvl w:val="0"/>
          <w:numId w:val="1"/>
        </w:numPr>
        <w:shd w:val="clear" w:color="auto" w:fill="FFFFFF"/>
        <w:spacing w:line="480" w:lineRule="atLeast"/>
        <w:ind w:firstLineChars="50" w:firstLine="120"/>
        <w:jc w:val="left"/>
        <w:rPr>
          <w:rFonts w:ascii="微软雅黑" w:eastAsia="微软雅黑" w:hAnsi="微软雅黑" w:cs="微软雅黑"/>
          <w:b/>
          <w:bCs/>
          <w:kern w:val="0"/>
          <w:sz w:val="24"/>
          <w:szCs w:val="24"/>
        </w:rPr>
      </w:pPr>
      <w:r>
        <w:rPr>
          <w:rFonts w:ascii="微软雅黑" w:eastAsia="微软雅黑" w:hAnsi="微软雅黑" w:cs="微软雅黑" w:hint="eastAsia"/>
          <w:b/>
          <w:bCs/>
          <w:kern w:val="0"/>
          <w:sz w:val="24"/>
          <w:szCs w:val="24"/>
        </w:rPr>
        <w:t>承包事项的说明</w:t>
      </w:r>
    </w:p>
    <w:p w:rsidR="00B042D0" w:rsidRDefault="00CA2574">
      <w:pPr>
        <w:widowControl/>
        <w:shd w:val="clear" w:color="auto" w:fill="FFFFFF"/>
        <w:spacing w:line="480" w:lineRule="atLeas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1.工作范围：从废水站进水到排放口运行与维护，确保废水的达标排放。</w:t>
      </w:r>
    </w:p>
    <w:p w:rsidR="00B042D0" w:rsidRDefault="00CA2574">
      <w:pPr>
        <w:widowControl/>
        <w:shd w:val="clear" w:color="auto" w:fill="FFFFFF"/>
        <w:spacing w:line="480" w:lineRule="atLeas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2.费用包含人工费，药剂费，水质化验费，总排口</w:t>
      </w:r>
      <w:r>
        <w:rPr>
          <w:rFonts w:ascii="微软雅黑" w:eastAsia="微软雅黑" w:hAnsi="微软雅黑" w:cs="微软雅黑"/>
          <w:kern w:val="0"/>
          <w:sz w:val="24"/>
          <w:szCs w:val="24"/>
        </w:rPr>
        <w:t>在线检测仪器仪表，污水站</w:t>
      </w:r>
      <w:r>
        <w:rPr>
          <w:rFonts w:ascii="微软雅黑" w:eastAsia="微软雅黑" w:hAnsi="微软雅黑" w:cs="微软雅黑" w:hint="eastAsia"/>
          <w:kern w:val="0"/>
          <w:sz w:val="24"/>
          <w:szCs w:val="24"/>
        </w:rPr>
        <w:t>设备仪器保养费等。但不包括水电费，污泥外运费。</w:t>
      </w:r>
    </w:p>
    <w:p w:rsidR="00B042D0" w:rsidRDefault="00CA2574">
      <w:pPr>
        <w:widowControl/>
        <w:shd w:val="clear" w:color="auto" w:fill="FFFFFF"/>
        <w:spacing w:line="480" w:lineRule="atLeas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3.在运营期间，因处理后的水质不达标，导致政府部门的所有行政处罚，处罚费用由运维承包方全部承担，</w:t>
      </w:r>
      <w:r>
        <w:rPr>
          <w:rFonts w:ascii="微软雅黑" w:eastAsia="微软雅黑" w:hAnsi="微软雅黑" w:cs="微软雅黑" w:hint="eastAsia"/>
          <w:kern w:val="0"/>
          <w:sz w:val="24"/>
          <w:szCs w:val="24"/>
          <w:highlight w:val="yellow"/>
        </w:rPr>
        <w:t>如因处理后的水质不达标需停产，则停产造成的损失都将由运维承包方承</w:t>
      </w:r>
      <w:r>
        <w:rPr>
          <w:rFonts w:ascii="微软雅黑" w:eastAsia="微软雅黑" w:hAnsi="微软雅黑" w:cs="微软雅黑" w:hint="eastAsia"/>
          <w:kern w:val="0"/>
          <w:sz w:val="24"/>
          <w:szCs w:val="24"/>
          <w:highlight w:val="yellow"/>
        </w:rPr>
        <w:lastRenderedPageBreak/>
        <w:t>担。</w:t>
      </w:r>
      <w:r>
        <w:rPr>
          <w:rFonts w:ascii="微软雅黑" w:eastAsia="微软雅黑" w:hAnsi="微软雅黑" w:cs="微软雅黑" w:hint="eastAsia"/>
          <w:kern w:val="0"/>
          <w:sz w:val="24"/>
          <w:szCs w:val="24"/>
        </w:rPr>
        <w:t>如果污水处理站项目建设与运营效果好，得到了政府部门的奖励，则奖励金额双方各得一半。</w:t>
      </w:r>
    </w:p>
    <w:p w:rsidR="00B042D0" w:rsidRDefault="00CA2574">
      <w:pPr>
        <w:pStyle w:val="2"/>
        <w:ind w:firstLine="0"/>
        <w:rPr>
          <w:rFonts w:ascii="微软雅黑" w:eastAsia="微软雅黑" w:hAnsi="微软雅黑" w:cs="微软雅黑"/>
          <w:sz w:val="24"/>
          <w:szCs w:val="24"/>
        </w:rPr>
      </w:pPr>
      <w:r>
        <w:rPr>
          <w:rFonts w:ascii="微软雅黑" w:eastAsia="微软雅黑" w:hAnsi="微软雅黑" w:cs="微软雅黑" w:hint="eastAsia"/>
          <w:sz w:val="24"/>
          <w:szCs w:val="24"/>
        </w:rPr>
        <w:t>4.废水的流量视生产情况波动，承包方需充分考虑，承包价格为</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元/月，含</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的增值税发票。</w:t>
      </w:r>
    </w:p>
    <w:p w:rsidR="00B042D0" w:rsidRDefault="00CA2574">
      <w:pPr>
        <w:pStyle w:val="2"/>
        <w:ind w:firstLine="0"/>
        <w:rPr>
          <w:rFonts w:ascii="微软雅黑" w:eastAsia="微软雅黑" w:hAnsi="微软雅黑" w:cs="微软雅黑"/>
          <w:sz w:val="24"/>
          <w:szCs w:val="24"/>
        </w:rPr>
      </w:pPr>
      <w:r>
        <w:rPr>
          <w:rFonts w:ascii="微软雅黑" w:eastAsia="微软雅黑" w:hAnsi="微软雅黑" w:cs="微软雅黑" w:hint="eastAsia"/>
          <w:sz w:val="24"/>
          <w:szCs w:val="24"/>
        </w:rPr>
        <w:t>5.付款方式：每月的25日前支付上个月的承包费用。</w:t>
      </w:r>
    </w:p>
    <w:p w:rsidR="00B042D0" w:rsidRDefault="00CA2574">
      <w:pPr>
        <w:pStyle w:val="2"/>
        <w:ind w:firstLine="0"/>
        <w:rPr>
          <w:rFonts w:ascii="微软雅黑" w:eastAsia="微软雅黑" w:hAnsi="微软雅黑" w:cs="微软雅黑"/>
          <w:sz w:val="24"/>
          <w:szCs w:val="24"/>
        </w:rPr>
      </w:pPr>
      <w:r>
        <w:rPr>
          <w:rFonts w:ascii="微软雅黑" w:eastAsia="微软雅黑" w:hAnsi="微软雅黑" w:cs="微软雅黑" w:hint="eastAsia"/>
          <w:sz w:val="24"/>
          <w:szCs w:val="24"/>
        </w:rPr>
        <w:t>6.人员安排：建议考虑白班和夜班最少各1人驻厂。</w:t>
      </w:r>
    </w:p>
    <w:p w:rsidR="00C74843" w:rsidRDefault="00CA2574">
      <w:pPr>
        <w:pStyle w:val="2"/>
        <w:ind w:firstLine="0"/>
        <w:rPr>
          <w:rFonts w:ascii="微软雅黑" w:eastAsia="微软雅黑" w:hAnsi="微软雅黑" w:cs="微软雅黑"/>
          <w:sz w:val="24"/>
          <w:szCs w:val="24"/>
        </w:rPr>
      </w:pPr>
      <w:r>
        <w:rPr>
          <w:rFonts w:ascii="微软雅黑" w:eastAsia="微软雅黑" w:hAnsi="微软雅黑" w:cs="微软雅黑" w:hint="eastAsia"/>
          <w:sz w:val="24"/>
          <w:szCs w:val="24"/>
        </w:rPr>
        <w:t>7.招标时间：</w:t>
      </w:r>
      <w:r w:rsidR="00C74843">
        <w:rPr>
          <w:rFonts w:hint="eastAsia"/>
          <w:color w:val="FF0000"/>
          <w:sz w:val="24"/>
        </w:rPr>
        <w:t>本次投标截止时间为2023年12月</w:t>
      </w:r>
      <w:r w:rsidR="00C74843">
        <w:rPr>
          <w:color w:val="FF0000"/>
          <w:sz w:val="24"/>
        </w:rPr>
        <w:t>5</w:t>
      </w:r>
      <w:r w:rsidR="00C74843">
        <w:rPr>
          <w:rFonts w:hint="eastAsia"/>
          <w:color w:val="FF0000"/>
          <w:sz w:val="24"/>
        </w:rPr>
        <w:t>日1</w:t>
      </w:r>
      <w:r w:rsidR="00C74843">
        <w:rPr>
          <w:color w:val="FF0000"/>
          <w:sz w:val="24"/>
        </w:rPr>
        <w:t>2</w:t>
      </w:r>
      <w:r w:rsidR="00C74843">
        <w:rPr>
          <w:rFonts w:hint="eastAsia"/>
          <w:color w:val="FF0000"/>
          <w:sz w:val="24"/>
        </w:rPr>
        <w:t>时,投标方将投标书以快件形式寄至我司</w:t>
      </w:r>
      <w:r>
        <w:rPr>
          <w:rFonts w:ascii="微软雅黑" w:eastAsia="微软雅黑" w:hAnsi="微软雅黑" w:cs="微软雅黑" w:hint="eastAsia"/>
          <w:sz w:val="24"/>
          <w:szCs w:val="24"/>
        </w:rPr>
        <w:t>，由我司统一进行开标，由</w:t>
      </w:r>
      <w:r>
        <w:rPr>
          <w:rFonts w:ascii="微软雅黑" w:eastAsia="微软雅黑" w:hAnsi="微软雅黑" w:cs="微软雅黑"/>
          <w:sz w:val="24"/>
          <w:szCs w:val="24"/>
        </w:rPr>
        <w:t>我司技术和商务部门综合评定确认中标单位</w:t>
      </w:r>
      <w:r>
        <w:rPr>
          <w:rFonts w:ascii="微软雅黑" w:eastAsia="微软雅黑" w:hAnsi="微软雅黑" w:cs="微软雅黑" w:hint="eastAsia"/>
          <w:color w:val="FF0000"/>
          <w:sz w:val="24"/>
          <w:szCs w:val="24"/>
        </w:rPr>
        <w:t>，</w:t>
      </w:r>
      <w:r>
        <w:rPr>
          <w:rFonts w:ascii="微软雅黑" w:eastAsia="微软雅黑" w:hAnsi="微软雅黑" w:cs="微软雅黑" w:hint="eastAsia"/>
          <w:sz w:val="24"/>
          <w:szCs w:val="24"/>
        </w:rPr>
        <w:t>在中标后通知中标厂家到现场进行交接，每种设备进行开机确认交接，如发现设备损坏则我司承担配件更换费用或修好，完成交接后运维承包期间出现的易损件配件损坏由承包方承担，设备因寿命问题需大修的费用由我司承担，</w:t>
      </w:r>
      <w:r>
        <w:rPr>
          <w:rFonts w:ascii="微软雅黑" w:eastAsia="微软雅黑" w:hAnsi="微软雅黑" w:cs="微软雅黑" w:hint="eastAsia"/>
          <w:sz w:val="24"/>
          <w:szCs w:val="24"/>
          <w:highlight w:val="yellow"/>
        </w:rPr>
        <w:t>单次</w:t>
      </w:r>
      <w:r>
        <w:rPr>
          <w:rFonts w:ascii="微软雅黑" w:eastAsia="微软雅黑" w:hAnsi="微软雅黑" w:cs="微软雅黑" w:hint="eastAsia"/>
          <w:sz w:val="24"/>
          <w:szCs w:val="24"/>
        </w:rPr>
        <w:t>大修的费用暂定</w:t>
      </w:r>
      <w:r w:rsidR="00706875">
        <w:rPr>
          <w:rFonts w:ascii="微软雅黑" w:eastAsia="微软雅黑" w:hAnsi="微软雅黑" w:cs="微软雅黑" w:hint="eastAsia"/>
          <w:sz w:val="24"/>
          <w:szCs w:val="24"/>
        </w:rPr>
        <w:t>2001</w:t>
      </w:r>
      <w:bookmarkStart w:id="11" w:name="_GoBack"/>
      <w:bookmarkEnd w:id="11"/>
      <w:r>
        <w:rPr>
          <w:rFonts w:ascii="微软雅黑" w:eastAsia="微软雅黑" w:hAnsi="微软雅黑" w:cs="微软雅黑" w:hint="eastAsia"/>
          <w:sz w:val="24"/>
          <w:szCs w:val="24"/>
        </w:rPr>
        <w:t>元以上。</w:t>
      </w:r>
    </w:p>
    <w:p w:rsidR="00C74843" w:rsidRDefault="00C74843" w:rsidP="00C74843">
      <w:pPr>
        <w:spacing w:line="400" w:lineRule="exact"/>
        <w:rPr>
          <w:b/>
          <w:sz w:val="24"/>
        </w:rPr>
      </w:pPr>
      <w:r>
        <w:rPr>
          <w:rFonts w:hint="eastAsia"/>
          <w:b/>
          <w:sz w:val="24"/>
        </w:rPr>
        <w:t>四、投标方需要说明的其它事项：</w:t>
      </w:r>
    </w:p>
    <w:p w:rsidR="00C74843" w:rsidRPr="00C74843" w:rsidRDefault="00C74843" w:rsidP="00C74843">
      <w:pPr>
        <w:spacing w:line="400" w:lineRule="exact"/>
        <w:ind w:leftChars="67" w:left="501" w:hangingChars="150" w:hanging="360"/>
        <w:rPr>
          <w:rFonts w:ascii="微软雅黑" w:eastAsia="微软雅黑" w:hAnsi="微软雅黑" w:cs="微软雅黑"/>
          <w:kern w:val="0"/>
          <w:sz w:val="24"/>
          <w:szCs w:val="24"/>
        </w:rPr>
      </w:pPr>
      <w:r w:rsidRPr="00C74843">
        <w:rPr>
          <w:rFonts w:ascii="微软雅黑" w:eastAsia="微软雅黑" w:hAnsi="微软雅黑" w:cs="微软雅黑" w:hint="eastAsia"/>
          <w:kern w:val="0"/>
          <w:sz w:val="24"/>
          <w:szCs w:val="24"/>
        </w:rPr>
        <w:t xml:space="preserve">1、本标书仅提供了招标的基本参数及要求，投标方不能因招标书的限定而免除对投标应满足招标方其它要求应承担的责任。   </w:t>
      </w:r>
    </w:p>
    <w:p w:rsidR="00C74843" w:rsidRPr="00C74843" w:rsidRDefault="00C74843" w:rsidP="00C74843">
      <w:pPr>
        <w:spacing w:line="400" w:lineRule="exact"/>
        <w:ind w:firstLineChars="50" w:firstLine="120"/>
        <w:rPr>
          <w:rFonts w:ascii="微软雅黑" w:eastAsia="微软雅黑" w:hAnsi="微软雅黑" w:cs="微软雅黑"/>
          <w:kern w:val="0"/>
          <w:sz w:val="24"/>
          <w:szCs w:val="24"/>
        </w:rPr>
      </w:pPr>
      <w:r w:rsidRPr="00C74843">
        <w:rPr>
          <w:rFonts w:ascii="微软雅黑" w:eastAsia="微软雅黑" w:hAnsi="微软雅黑" w:cs="微软雅黑"/>
          <w:kern w:val="0"/>
          <w:sz w:val="24"/>
          <w:szCs w:val="24"/>
        </w:rPr>
        <w:t>2</w:t>
      </w:r>
      <w:r w:rsidRPr="00C74843">
        <w:rPr>
          <w:rFonts w:ascii="微软雅黑" w:eastAsia="微软雅黑" w:hAnsi="微软雅黑" w:cs="微软雅黑" w:hint="eastAsia"/>
          <w:kern w:val="0"/>
          <w:sz w:val="24"/>
          <w:szCs w:val="24"/>
        </w:rPr>
        <w:t xml:space="preserve">、本次招标开标时不邀请投标方派员参加。 </w:t>
      </w:r>
    </w:p>
    <w:p w:rsidR="00C74843" w:rsidRPr="00C74843" w:rsidRDefault="00C74843" w:rsidP="00C74843">
      <w:pPr>
        <w:spacing w:line="400" w:lineRule="exact"/>
        <w:ind w:leftChars="67" w:left="501" w:hangingChars="150" w:hanging="360"/>
        <w:rPr>
          <w:rFonts w:ascii="微软雅黑" w:eastAsia="微软雅黑" w:hAnsi="微软雅黑" w:cs="微软雅黑"/>
          <w:kern w:val="0"/>
          <w:sz w:val="24"/>
          <w:szCs w:val="24"/>
        </w:rPr>
      </w:pPr>
      <w:r w:rsidRPr="00C74843">
        <w:rPr>
          <w:rFonts w:ascii="微软雅黑" w:eastAsia="微软雅黑" w:hAnsi="微软雅黑" w:cs="微软雅黑"/>
          <w:kern w:val="0"/>
          <w:sz w:val="24"/>
          <w:szCs w:val="24"/>
        </w:rPr>
        <w:t>3</w:t>
      </w:r>
      <w:r w:rsidRPr="00C74843">
        <w:rPr>
          <w:rFonts w:ascii="微软雅黑" w:eastAsia="微软雅黑" w:hAnsi="微软雅黑" w:cs="微软雅黑" w:hint="eastAsia"/>
          <w:kern w:val="0"/>
          <w:sz w:val="24"/>
          <w:szCs w:val="24"/>
        </w:rPr>
        <w:t>、届时由招标方邀请有关方面专家对标书进行评审，根据评审情况通知投标方对投标标书内容作进一步交流澄清，投标方就相关问题作书面承诺。</w:t>
      </w:r>
    </w:p>
    <w:p w:rsidR="00C74843" w:rsidRPr="00C74843" w:rsidRDefault="00C74843" w:rsidP="00C74843">
      <w:pPr>
        <w:spacing w:line="400" w:lineRule="exact"/>
        <w:ind w:leftChars="67" w:left="501" w:hangingChars="150" w:hanging="360"/>
        <w:rPr>
          <w:rFonts w:ascii="微软雅黑" w:eastAsia="微软雅黑" w:hAnsi="微软雅黑" w:cs="微软雅黑"/>
          <w:kern w:val="0"/>
          <w:sz w:val="24"/>
          <w:szCs w:val="24"/>
        </w:rPr>
      </w:pPr>
      <w:r w:rsidRPr="00C74843">
        <w:rPr>
          <w:rFonts w:ascii="微软雅黑" w:eastAsia="微软雅黑" w:hAnsi="微软雅黑" w:cs="微软雅黑"/>
          <w:kern w:val="0"/>
          <w:sz w:val="24"/>
          <w:szCs w:val="24"/>
        </w:rPr>
        <w:t>4</w:t>
      </w:r>
      <w:r w:rsidRPr="00C74843">
        <w:rPr>
          <w:rFonts w:ascii="微软雅黑" w:eastAsia="微软雅黑" w:hAnsi="微软雅黑" w:cs="微软雅黑" w:hint="eastAsia"/>
          <w:kern w:val="0"/>
          <w:sz w:val="24"/>
          <w:szCs w:val="24"/>
        </w:rPr>
        <w:t>、招标方依据评审和答疑结果确定中标单位，并通知中标单位签订合同等文件，对未中标单位招标方不作解释。</w:t>
      </w:r>
    </w:p>
    <w:p w:rsidR="00C74843" w:rsidRPr="00C74843" w:rsidRDefault="00C74843" w:rsidP="00C74843">
      <w:pPr>
        <w:rPr>
          <w:rFonts w:ascii="微软雅黑" w:eastAsia="微软雅黑" w:hAnsi="微软雅黑" w:cs="微软雅黑"/>
          <w:kern w:val="0"/>
          <w:sz w:val="24"/>
          <w:szCs w:val="24"/>
        </w:rPr>
      </w:pPr>
      <w:r w:rsidRPr="00C74843">
        <w:rPr>
          <w:rFonts w:ascii="微软雅黑" w:eastAsia="微软雅黑" w:hAnsi="微软雅黑" w:cs="微软雅黑" w:hint="eastAsia"/>
          <w:kern w:val="0"/>
          <w:sz w:val="24"/>
          <w:szCs w:val="24"/>
        </w:rPr>
        <w:t xml:space="preserve">联系人：陈家钜 </w:t>
      </w:r>
      <w:r w:rsidRPr="00C74843">
        <w:rPr>
          <w:rFonts w:ascii="微软雅黑" w:eastAsia="微软雅黑" w:hAnsi="微软雅黑" w:cs="微软雅黑"/>
          <w:kern w:val="0"/>
          <w:sz w:val="24"/>
          <w:szCs w:val="24"/>
        </w:rPr>
        <w:t>18879558099</w:t>
      </w:r>
      <w:r w:rsidRPr="00C74843">
        <w:rPr>
          <w:rFonts w:ascii="微软雅黑" w:eastAsia="微软雅黑" w:hAnsi="微软雅黑" w:cs="微软雅黑" w:hint="eastAsia"/>
          <w:kern w:val="0"/>
          <w:sz w:val="24"/>
          <w:szCs w:val="24"/>
        </w:rPr>
        <w:t xml:space="preserve">   （投标书收件人）</w:t>
      </w:r>
    </w:p>
    <w:p w:rsidR="00C74843" w:rsidRPr="00C74843" w:rsidRDefault="00C74843" w:rsidP="00C74843">
      <w:pPr>
        <w:rPr>
          <w:rFonts w:ascii="微软雅黑" w:eastAsia="微软雅黑" w:hAnsi="微软雅黑" w:cs="微软雅黑"/>
          <w:kern w:val="0"/>
          <w:sz w:val="24"/>
          <w:szCs w:val="24"/>
        </w:rPr>
      </w:pPr>
      <w:r w:rsidRPr="00C74843">
        <w:rPr>
          <w:rFonts w:ascii="微软雅黑" w:eastAsia="微软雅黑" w:hAnsi="微软雅黑" w:cs="微软雅黑" w:hint="eastAsia"/>
          <w:kern w:val="0"/>
          <w:sz w:val="24"/>
          <w:szCs w:val="24"/>
        </w:rPr>
        <w:t xml:space="preserve">        李意元 </w:t>
      </w:r>
      <w:r w:rsidRPr="00C74843">
        <w:rPr>
          <w:rFonts w:ascii="微软雅黑" w:eastAsia="微软雅黑" w:hAnsi="微软雅黑" w:cs="微软雅黑"/>
          <w:kern w:val="0"/>
          <w:sz w:val="24"/>
          <w:szCs w:val="24"/>
        </w:rPr>
        <w:t>18879553633</w:t>
      </w:r>
      <w:r w:rsidRPr="00C74843">
        <w:rPr>
          <w:rFonts w:ascii="微软雅黑" w:eastAsia="微软雅黑" w:hAnsi="微软雅黑" w:cs="微软雅黑" w:hint="eastAsia"/>
          <w:kern w:val="0"/>
          <w:sz w:val="24"/>
          <w:szCs w:val="24"/>
        </w:rPr>
        <w:t xml:space="preserve">    （技术负责人，可到现场查勘）</w:t>
      </w:r>
    </w:p>
    <w:p w:rsidR="00C74843" w:rsidRPr="00C74843" w:rsidRDefault="00C74843" w:rsidP="00C74843">
      <w:pPr>
        <w:rPr>
          <w:rFonts w:ascii="微软雅黑" w:eastAsia="微软雅黑" w:hAnsi="微软雅黑" w:cs="微软雅黑"/>
          <w:kern w:val="0"/>
          <w:sz w:val="24"/>
          <w:szCs w:val="24"/>
        </w:rPr>
      </w:pPr>
      <w:r w:rsidRPr="00C74843">
        <w:rPr>
          <w:rFonts w:ascii="微软雅黑" w:eastAsia="微软雅黑" w:hAnsi="微软雅黑" w:cs="微软雅黑" w:hint="eastAsia"/>
          <w:kern w:val="0"/>
          <w:sz w:val="24"/>
          <w:szCs w:val="24"/>
        </w:rPr>
        <w:t>邮寄地址：江西省宜春市经济开发区经发大道3</w:t>
      </w:r>
      <w:r w:rsidRPr="00C74843">
        <w:rPr>
          <w:rFonts w:ascii="微软雅黑" w:eastAsia="微软雅黑" w:hAnsi="微软雅黑" w:cs="微软雅黑"/>
          <w:kern w:val="0"/>
          <w:sz w:val="24"/>
          <w:szCs w:val="24"/>
        </w:rPr>
        <w:t>9号江西远东电池有限公司科技楼五楼采购部</w:t>
      </w:r>
    </w:p>
    <w:p w:rsidR="00C74843" w:rsidRPr="00C74843" w:rsidRDefault="00C74843">
      <w:pPr>
        <w:pStyle w:val="2"/>
        <w:ind w:firstLine="0"/>
        <w:rPr>
          <w:rFonts w:ascii="微软雅黑" w:eastAsia="微软雅黑" w:hAnsi="微软雅黑" w:cs="微软雅黑"/>
        </w:rPr>
      </w:pPr>
    </w:p>
    <w:sectPr w:rsidR="00C74843" w:rsidRPr="00C7484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206" w:rsidRDefault="001A1206" w:rsidP="00C74843">
      <w:r>
        <w:separator/>
      </w:r>
    </w:p>
  </w:endnote>
  <w:endnote w:type="continuationSeparator" w:id="0">
    <w:p w:rsidR="001A1206" w:rsidRDefault="001A1206" w:rsidP="00C7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206" w:rsidRDefault="001A1206" w:rsidP="00C74843">
      <w:r>
        <w:separator/>
      </w:r>
    </w:p>
  </w:footnote>
  <w:footnote w:type="continuationSeparator" w:id="0">
    <w:p w:rsidR="001A1206" w:rsidRDefault="001A1206" w:rsidP="00C74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F0E29"/>
    <w:multiLevelType w:val="multilevel"/>
    <w:tmpl w:val="5ABF0E29"/>
    <w:lvl w:ilvl="0">
      <w:start w:val="1"/>
      <w:numFmt w:val="japaneseCounting"/>
      <w:lvlText w:val="%1、"/>
      <w:lvlJc w:val="left"/>
      <w:pPr>
        <w:tabs>
          <w:tab w:val="left" w:pos="720"/>
        </w:tabs>
        <w:ind w:left="720" w:hanging="720"/>
      </w:pPr>
      <w:rPr>
        <w:rFonts w:hint="default"/>
      </w:rPr>
    </w:lvl>
    <w:lvl w:ilvl="1">
      <w:start w:val="5"/>
      <w:numFmt w:val="decimal"/>
      <w:lvlText w:val="（%2）"/>
      <w:lvlJc w:val="left"/>
      <w:pPr>
        <w:tabs>
          <w:tab w:val="left" w:pos="1500"/>
        </w:tabs>
        <w:ind w:left="1500" w:hanging="1080"/>
      </w:pPr>
      <w:rPr>
        <w:rFonts w:ascii="Times New Roman" w:eastAsia="仿宋_GB2312" w:hAnsi="Times New Roman" w:hint="default"/>
        <w:sz w:val="24"/>
      </w:rPr>
    </w:lvl>
    <w:lvl w:ilvl="2">
      <w:start w:val="1"/>
      <w:numFmt w:val="decimal"/>
      <w:lvlText w:val="%3、"/>
      <w:lvlJc w:val="left"/>
      <w:pPr>
        <w:tabs>
          <w:tab w:val="left" w:pos="1560"/>
        </w:tabs>
        <w:ind w:left="1560" w:hanging="720"/>
      </w:pPr>
      <w:rPr>
        <w:rFonts w:hint="default"/>
        <w:u w:val="none"/>
      </w:rPr>
    </w:lvl>
    <w:lvl w:ilvl="3">
      <w:start w:val="1"/>
      <w:numFmt w:val="decimal"/>
      <w:lvlText w:val="%4．"/>
      <w:lvlJc w:val="left"/>
      <w:pPr>
        <w:tabs>
          <w:tab w:val="left" w:pos="1980"/>
        </w:tabs>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FC9CD46"/>
    <w:multiLevelType w:val="singleLevel"/>
    <w:tmpl w:val="5FC9CD46"/>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27"/>
    <w:rsid w:val="00046AC1"/>
    <w:rsid w:val="000C4D3E"/>
    <w:rsid w:val="000F3F82"/>
    <w:rsid w:val="00136117"/>
    <w:rsid w:val="001A1206"/>
    <w:rsid w:val="001E233B"/>
    <w:rsid w:val="00264F12"/>
    <w:rsid w:val="002A45CC"/>
    <w:rsid w:val="003E15F2"/>
    <w:rsid w:val="004E3DE1"/>
    <w:rsid w:val="00613465"/>
    <w:rsid w:val="006333D6"/>
    <w:rsid w:val="006B4BCD"/>
    <w:rsid w:val="006F5918"/>
    <w:rsid w:val="00706875"/>
    <w:rsid w:val="007455F6"/>
    <w:rsid w:val="008D0A31"/>
    <w:rsid w:val="008F1D94"/>
    <w:rsid w:val="009D55B0"/>
    <w:rsid w:val="00B005BE"/>
    <w:rsid w:val="00B042D0"/>
    <w:rsid w:val="00B67864"/>
    <w:rsid w:val="00B859C8"/>
    <w:rsid w:val="00C74843"/>
    <w:rsid w:val="00C80657"/>
    <w:rsid w:val="00CA2574"/>
    <w:rsid w:val="00CE49ED"/>
    <w:rsid w:val="00D97216"/>
    <w:rsid w:val="00E6565F"/>
    <w:rsid w:val="00E75F27"/>
    <w:rsid w:val="00F10E5A"/>
    <w:rsid w:val="00F46ADD"/>
    <w:rsid w:val="02B41931"/>
    <w:rsid w:val="14DB2AF3"/>
    <w:rsid w:val="2AE1111F"/>
    <w:rsid w:val="2BAD3123"/>
    <w:rsid w:val="49C56CCF"/>
    <w:rsid w:val="5A281A40"/>
    <w:rsid w:val="739F77E5"/>
    <w:rsid w:val="7CA2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02ED10-18F5-486A-A414-0856C040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1">
    <w:name w:val="heading 1"/>
    <w:basedOn w:val="a"/>
    <w:next w:val="a"/>
    <w:uiPriority w:val="9"/>
    <w:qFormat/>
    <w:pPr>
      <w:keepNext/>
      <w:adjustRightInd w:val="0"/>
      <w:spacing w:before="240" w:after="240" w:line="500" w:lineRule="exact"/>
      <w:jc w:val="left"/>
      <w:textAlignment w:val="baseline"/>
      <w:outlineLvl w:val="0"/>
    </w:pPr>
    <w:rPr>
      <w:rFonts w:eastAsia="宋体"/>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pPr>
      <w:adjustRightInd w:val="0"/>
      <w:spacing w:line="500" w:lineRule="exact"/>
      <w:ind w:firstLine="425"/>
      <w:textAlignment w:val="baseline"/>
    </w:pPr>
    <w:rPr>
      <w:rFonts w:ascii="宋体"/>
      <w:kern w:val="0"/>
      <w:szCs w:val="20"/>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a5">
    <w:name w:val="图表"/>
    <w:basedOn w:val="a"/>
    <w:pPr>
      <w:spacing w:before="120" w:after="120"/>
      <w:jc w:val="center"/>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李意元</dc:creator>
  <cp:lastModifiedBy>李意元</cp:lastModifiedBy>
  <cp:revision>74</cp:revision>
  <dcterms:created xsi:type="dcterms:W3CDTF">2020-11-18T06:08:00Z</dcterms:created>
  <dcterms:modified xsi:type="dcterms:W3CDTF">2023-11-21T04:02:00Z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2052-10.8.0.6294</vt:lpwstr>
  </property>
</Properties>
</file>